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1EAFD" w14:textId="77777777" w:rsidR="00FD4CBB" w:rsidRPr="00FD4CBB" w:rsidRDefault="00FD4CBB" w:rsidP="00FD4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en-IE"/>
        </w:rPr>
      </w:pPr>
      <w:bookmarkStart w:id="0" w:name="_GoBack"/>
      <w:bookmarkEnd w:id="0"/>
      <w:r w:rsidRPr="00FD4CBB">
        <w:rPr>
          <w:b/>
          <w:sz w:val="40"/>
          <w:szCs w:val="40"/>
          <w:lang w:val="en-IE"/>
        </w:rPr>
        <w:t>APPLICATION FORM</w:t>
      </w:r>
    </w:p>
    <w:p w14:paraId="6490BFE7" w14:textId="77777777" w:rsidR="00FD4CBB" w:rsidRPr="00FD4CBB" w:rsidRDefault="00FD4CBB" w:rsidP="00FD4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en-IE"/>
        </w:rPr>
      </w:pPr>
      <w:r w:rsidRPr="00FD4CBB">
        <w:rPr>
          <w:b/>
          <w:sz w:val="40"/>
          <w:szCs w:val="40"/>
          <w:lang w:val="en-IE"/>
        </w:rPr>
        <w:t>FOR</w:t>
      </w:r>
      <w:r w:rsidR="00B47989">
        <w:rPr>
          <w:b/>
          <w:sz w:val="40"/>
          <w:szCs w:val="40"/>
          <w:lang w:val="en-IE"/>
        </w:rPr>
        <w:t xml:space="preserve"> PARTICIPATION IN THE</w:t>
      </w:r>
    </w:p>
    <w:p w14:paraId="201EF283" w14:textId="77777777" w:rsidR="00FD4CBB" w:rsidRDefault="00FD4CBB" w:rsidP="00FD4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en-IE"/>
        </w:rPr>
      </w:pPr>
      <w:r w:rsidRPr="00FD4CBB">
        <w:rPr>
          <w:b/>
          <w:sz w:val="40"/>
          <w:szCs w:val="40"/>
          <w:lang w:val="en-IE"/>
        </w:rPr>
        <w:t xml:space="preserve"> Team EUROPE DIRECT</w:t>
      </w:r>
      <w:r w:rsidR="00B47989">
        <w:rPr>
          <w:b/>
          <w:sz w:val="40"/>
          <w:szCs w:val="40"/>
          <w:lang w:val="en-IE"/>
        </w:rPr>
        <w:t xml:space="preserve"> NETWORK</w:t>
      </w:r>
    </w:p>
    <w:p w14:paraId="5E4A4D27" w14:textId="437FD570" w:rsidR="00FD4CBB" w:rsidRPr="00304995" w:rsidRDefault="00304995" w:rsidP="00FD4CBB">
      <w:pPr>
        <w:rPr>
          <w:i/>
          <w:color w:val="FF0000"/>
          <w:sz w:val="40"/>
          <w:szCs w:val="40"/>
          <w:lang w:val="en-IE"/>
        </w:rPr>
      </w:pPr>
      <w:r w:rsidRPr="00304995">
        <w:rPr>
          <w:i/>
          <w:color w:val="FF0000"/>
          <w:sz w:val="40"/>
          <w:szCs w:val="40"/>
          <w:lang w:val="en-IE"/>
        </w:rPr>
        <w:t>To be prepared as EU Survey submission form</w:t>
      </w:r>
    </w:p>
    <w:p w14:paraId="637EA888" w14:textId="77777777" w:rsidR="00084A1B" w:rsidRDefault="00084A1B" w:rsidP="00FD4CBB">
      <w:pPr>
        <w:rPr>
          <w:lang w:val="en-IE"/>
        </w:rPr>
      </w:pPr>
      <w:r w:rsidRPr="00084A1B">
        <w:rPr>
          <w:lang w:val="en-IE"/>
        </w:rPr>
        <w:t>Name and surname</w:t>
      </w:r>
      <w:r w:rsidR="00181B6B">
        <w:rPr>
          <w:lang w:val="en-IE"/>
        </w:rPr>
        <w:t>……………………………………………………………………………………………………………………………</w:t>
      </w:r>
    </w:p>
    <w:p w14:paraId="0D1461AB" w14:textId="395C0CB7" w:rsidR="00253526" w:rsidRDefault="002A760F" w:rsidP="00FD4CBB">
      <w:pPr>
        <w:rPr>
          <w:lang w:val="en-IE"/>
        </w:rPr>
      </w:pPr>
      <w:r>
        <w:rPr>
          <w:lang w:val="en-IE"/>
        </w:rPr>
        <w:t>Profession</w:t>
      </w:r>
      <w:r w:rsidR="00181B6B">
        <w:rPr>
          <w:lang w:val="en-IE"/>
        </w:rPr>
        <w:t>……………………………………………………………………………………………………………………………………………</w:t>
      </w:r>
    </w:p>
    <w:p w14:paraId="61F3A50D" w14:textId="1B60986E" w:rsidR="0024595D" w:rsidRDefault="0024595D" w:rsidP="0024595D">
      <w:pPr>
        <w:rPr>
          <w:lang w:val="en-IE"/>
        </w:rPr>
      </w:pPr>
      <w:r>
        <w:rPr>
          <w:lang w:val="en-IE"/>
        </w:rPr>
        <w:t>Field(s) of ex</w:t>
      </w:r>
      <w:r w:rsidR="00181B6B">
        <w:rPr>
          <w:lang w:val="en-IE"/>
        </w:rPr>
        <w:t xml:space="preserve">pertise </w:t>
      </w:r>
      <w:r w:rsidR="002A760F">
        <w:rPr>
          <w:lang w:val="en-IE"/>
        </w:rPr>
        <w:t xml:space="preserve">related to </w:t>
      </w:r>
      <w:r w:rsidR="00181B6B">
        <w:rPr>
          <w:lang w:val="en-IE"/>
        </w:rPr>
        <w:t>EU policy</w:t>
      </w:r>
      <w:r w:rsidR="009D070D">
        <w:rPr>
          <w:lang w:val="en-IE"/>
        </w:rPr>
        <w:t>:</w:t>
      </w:r>
    </w:p>
    <w:p w14:paraId="54DF7597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Agriculture and rural development</w:t>
      </w:r>
    </w:p>
    <w:p w14:paraId="1BAEF4E1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Banking and financial services</w:t>
      </w:r>
    </w:p>
    <w:p w14:paraId="21F5191B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Borders and security</w:t>
      </w:r>
    </w:p>
    <w:p w14:paraId="52D0F195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Budget</w:t>
      </w:r>
    </w:p>
    <w:p w14:paraId="34D0B3A0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Business and industry</w:t>
      </w:r>
    </w:p>
    <w:p w14:paraId="4587DA71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Climate action</w:t>
      </w:r>
    </w:p>
    <w:p w14:paraId="07D3E850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Competition</w:t>
      </w:r>
    </w:p>
    <w:p w14:paraId="6783EE92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Consumers</w:t>
      </w:r>
    </w:p>
    <w:p w14:paraId="4B644901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Culture and media</w:t>
      </w:r>
    </w:p>
    <w:p w14:paraId="61518FC4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Customs</w:t>
      </w:r>
    </w:p>
    <w:p w14:paraId="11053B55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Defence</w:t>
      </w:r>
    </w:p>
    <w:p w14:paraId="10C1D94A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Digital economy and society</w:t>
      </w:r>
    </w:p>
    <w:p w14:paraId="77B9A234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Economy, finance and the euro</w:t>
      </w:r>
    </w:p>
    <w:p w14:paraId="2790992E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Education and training</w:t>
      </w:r>
    </w:p>
    <w:p w14:paraId="71514FF3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Employment and social affairs</w:t>
      </w:r>
    </w:p>
    <w:p w14:paraId="5775201A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Energy</w:t>
      </w:r>
    </w:p>
    <w:p w14:paraId="435D64FB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Environment</w:t>
      </w:r>
    </w:p>
    <w:p w14:paraId="70F7BB5C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EU enlargement</w:t>
      </w:r>
    </w:p>
    <w:p w14:paraId="6ADBB1E1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European neighbourhood policy</w:t>
      </w:r>
    </w:p>
    <w:p w14:paraId="0943EF84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Food safety</w:t>
      </w:r>
    </w:p>
    <w:p w14:paraId="0E48484A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Foreign affairs and security policy</w:t>
      </w:r>
    </w:p>
    <w:p w14:paraId="0609EE3E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Fraud prevention</w:t>
      </w:r>
    </w:p>
    <w:p w14:paraId="46056C35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Home affairs</w:t>
      </w:r>
    </w:p>
    <w:p w14:paraId="5915031F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Humanitarian aid and civil protection</w:t>
      </w:r>
    </w:p>
    <w:p w14:paraId="16259C3F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Institutional affairs</w:t>
      </w:r>
    </w:p>
    <w:p w14:paraId="3BE7EA83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International cooperation and development</w:t>
      </w:r>
    </w:p>
    <w:p w14:paraId="4B1C8452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Justice and fundamental rights</w:t>
      </w:r>
    </w:p>
    <w:p w14:paraId="200D2ABD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Maritime affairs and fisheries</w:t>
      </w:r>
    </w:p>
    <w:p w14:paraId="342D4C2F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lastRenderedPageBreak/>
        <w:t>Migration and asylum</w:t>
      </w:r>
    </w:p>
    <w:p w14:paraId="48D07167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Public health</w:t>
      </w:r>
    </w:p>
    <w:p w14:paraId="7F9B5D72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Regional policy</w:t>
      </w:r>
    </w:p>
    <w:p w14:paraId="065CE73D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Research and innovation</w:t>
      </w:r>
    </w:p>
    <w:p w14:paraId="351FB659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Single market</w:t>
      </w:r>
    </w:p>
    <w:p w14:paraId="1CA34E19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Space</w:t>
      </w:r>
    </w:p>
    <w:p w14:paraId="3FF7DFC9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Sport</w:t>
      </w:r>
    </w:p>
    <w:p w14:paraId="2350FF88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Statistics</w:t>
      </w:r>
    </w:p>
    <w:p w14:paraId="7567D241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Taxation</w:t>
      </w:r>
    </w:p>
    <w:p w14:paraId="2AF9FD41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Trade</w:t>
      </w:r>
    </w:p>
    <w:p w14:paraId="537560FB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Transport</w:t>
      </w:r>
    </w:p>
    <w:p w14:paraId="59166A21" w14:textId="77777777" w:rsidR="009D070D" w:rsidRPr="009D070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Youth</w:t>
      </w:r>
    </w:p>
    <w:p w14:paraId="16208C1E" w14:textId="4BF251DF" w:rsidR="009D070D" w:rsidRPr="0024595D" w:rsidRDefault="009D070D" w:rsidP="009D070D">
      <w:pPr>
        <w:pStyle w:val="ListParagraph"/>
        <w:numPr>
          <w:ilvl w:val="0"/>
          <w:numId w:val="1"/>
        </w:numPr>
        <w:rPr>
          <w:lang w:val="en-IE"/>
        </w:rPr>
      </w:pPr>
      <w:r w:rsidRPr="009D070D">
        <w:rPr>
          <w:lang w:val="en-IE"/>
        </w:rPr>
        <w:t>Other</w:t>
      </w:r>
    </w:p>
    <w:p w14:paraId="5B0FCBF2" w14:textId="77777777" w:rsidR="0024595D" w:rsidRDefault="0024595D" w:rsidP="0024595D">
      <w:pPr>
        <w:rPr>
          <w:lang w:val="en-IE"/>
        </w:rPr>
      </w:pPr>
      <w:r>
        <w:rPr>
          <w:lang w:val="en-IE"/>
        </w:rPr>
        <w:t>P</w:t>
      </w:r>
      <w:r w:rsidR="00181B6B">
        <w:rPr>
          <w:lang w:val="en-IE"/>
        </w:rPr>
        <w:t>roven communication skills:</w:t>
      </w:r>
    </w:p>
    <w:p w14:paraId="080FF628" w14:textId="77777777" w:rsidR="00084A1B" w:rsidRDefault="0024595D" w:rsidP="0024595D">
      <w:pPr>
        <w:pStyle w:val="ListParagraph"/>
        <w:numPr>
          <w:ilvl w:val="0"/>
          <w:numId w:val="1"/>
        </w:numPr>
        <w:rPr>
          <w:lang w:val="en-IE"/>
        </w:rPr>
      </w:pPr>
      <w:r w:rsidRPr="0024595D">
        <w:rPr>
          <w:lang w:val="en-IE"/>
        </w:rPr>
        <w:t>speaking at debates or conferences, events, panels, workshops, training sessions</w:t>
      </w:r>
      <w:r w:rsidR="00C427CF">
        <w:rPr>
          <w:lang w:val="en-IE"/>
        </w:rPr>
        <w:t xml:space="preserve"> </w:t>
      </w:r>
      <w:proofErr w:type="spellStart"/>
      <w:r w:rsidR="00C427CF">
        <w:rPr>
          <w:lang w:val="en-IE"/>
        </w:rPr>
        <w:t>etc</w:t>
      </w:r>
      <w:proofErr w:type="spellEnd"/>
    </w:p>
    <w:p w14:paraId="67631DF1" w14:textId="77777777" w:rsidR="0024595D" w:rsidRDefault="0024595D" w:rsidP="0024595D">
      <w:pPr>
        <w:pStyle w:val="ListParagraph"/>
        <w:numPr>
          <w:ilvl w:val="0"/>
          <w:numId w:val="1"/>
        </w:numPr>
        <w:rPr>
          <w:lang w:val="en-IE"/>
        </w:rPr>
      </w:pPr>
      <w:r w:rsidRPr="0024595D">
        <w:rPr>
          <w:lang w:val="en-IE"/>
        </w:rPr>
        <w:t>animating, facilitating, moderating debates or conferences, events, panels, workshops, training sessions</w:t>
      </w:r>
    </w:p>
    <w:p w14:paraId="60809658" w14:textId="77777777" w:rsidR="00C427CF" w:rsidRDefault="0024595D" w:rsidP="00BC0D88">
      <w:pPr>
        <w:pStyle w:val="ListParagraph"/>
        <w:numPr>
          <w:ilvl w:val="0"/>
          <w:numId w:val="1"/>
        </w:numPr>
        <w:rPr>
          <w:lang w:val="en-IE"/>
        </w:rPr>
      </w:pPr>
      <w:r w:rsidRPr="00C427CF">
        <w:rPr>
          <w:lang w:val="en-IE"/>
        </w:rPr>
        <w:t xml:space="preserve">participatory democracy approaches </w:t>
      </w:r>
    </w:p>
    <w:p w14:paraId="4014881C" w14:textId="77777777" w:rsidR="0024595D" w:rsidRPr="00C427CF" w:rsidRDefault="0024595D" w:rsidP="00BC0D88">
      <w:pPr>
        <w:pStyle w:val="ListParagraph"/>
        <w:numPr>
          <w:ilvl w:val="0"/>
          <w:numId w:val="1"/>
        </w:numPr>
        <w:rPr>
          <w:lang w:val="en-IE"/>
        </w:rPr>
      </w:pPr>
      <w:r w:rsidRPr="00C427CF">
        <w:rPr>
          <w:lang w:val="en-IE"/>
        </w:rPr>
        <w:t xml:space="preserve">presence in media (radio/TV broadcasts) </w:t>
      </w:r>
    </w:p>
    <w:p w14:paraId="6EB6615A" w14:textId="77777777" w:rsidR="0024595D" w:rsidRDefault="00C427CF" w:rsidP="00C427CF">
      <w:pPr>
        <w:pStyle w:val="ListParagraph"/>
        <w:numPr>
          <w:ilvl w:val="0"/>
          <w:numId w:val="1"/>
        </w:numPr>
        <w:rPr>
          <w:lang w:val="en-IE"/>
        </w:rPr>
      </w:pPr>
      <w:r w:rsidRPr="00C427CF">
        <w:rPr>
          <w:lang w:val="en-IE"/>
        </w:rPr>
        <w:t>pu</w:t>
      </w:r>
      <w:r>
        <w:rPr>
          <w:lang w:val="en-IE"/>
        </w:rPr>
        <w:t>blication of newspaper articles</w:t>
      </w:r>
    </w:p>
    <w:p w14:paraId="65C1A8F6" w14:textId="77777777" w:rsidR="00C427CF" w:rsidRDefault="00C427CF" w:rsidP="00C427CF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presence on social media</w:t>
      </w:r>
    </w:p>
    <w:p w14:paraId="517BDB87" w14:textId="77777777" w:rsidR="00C365BC" w:rsidRPr="00C365BC" w:rsidRDefault="002A760F" w:rsidP="00C365BC">
      <w:pPr>
        <w:rPr>
          <w:lang w:val="en-IE"/>
        </w:rPr>
      </w:pPr>
      <w:r>
        <w:rPr>
          <w:lang w:val="en-IE"/>
        </w:rPr>
        <w:t>Main place</w:t>
      </w:r>
      <w:r w:rsidR="00181B6B">
        <w:rPr>
          <w:lang w:val="en-IE"/>
        </w:rPr>
        <w:t xml:space="preserve"> of activity………………………………………………………………………………………………..</w:t>
      </w:r>
    </w:p>
    <w:p w14:paraId="17A1B50B" w14:textId="64359404" w:rsidR="00253526" w:rsidRDefault="003870F5" w:rsidP="00253526">
      <w:pPr>
        <w:rPr>
          <w:lang w:val="en-IE"/>
        </w:rPr>
      </w:pPr>
      <w:r>
        <w:rPr>
          <w:lang w:val="en-IE"/>
        </w:rPr>
        <w:t>Address of reference</w:t>
      </w:r>
      <w:r w:rsidR="00253526">
        <w:rPr>
          <w:lang w:val="en-IE"/>
        </w:rPr>
        <w:t xml:space="preserve"> </w:t>
      </w:r>
    </w:p>
    <w:p w14:paraId="31AB2929" w14:textId="77777777" w:rsidR="00253526" w:rsidRPr="00253526" w:rsidRDefault="00181B6B" w:rsidP="00253526">
      <w:pPr>
        <w:rPr>
          <w:i/>
          <w:lang w:val="en-IE"/>
        </w:rPr>
      </w:pPr>
      <w:r>
        <w:rPr>
          <w:i/>
          <w:lang w:val="en-IE"/>
        </w:rPr>
        <w:t>Street name and number…………………………………………………………………………………………………………………..</w:t>
      </w:r>
    </w:p>
    <w:p w14:paraId="0E56CC49" w14:textId="77777777" w:rsidR="00253526" w:rsidRPr="00253526" w:rsidRDefault="00181B6B" w:rsidP="00253526">
      <w:pPr>
        <w:rPr>
          <w:lang w:val="en-IE"/>
        </w:rPr>
      </w:pPr>
      <w:r>
        <w:rPr>
          <w:i/>
          <w:lang w:val="en-IE"/>
        </w:rPr>
        <w:t>Town…………………………………………………………………………………………………………………………………………………</w:t>
      </w:r>
    </w:p>
    <w:p w14:paraId="32A65D10" w14:textId="18A3FC19" w:rsidR="00C67AD0" w:rsidRDefault="00C67AD0" w:rsidP="00FD4CBB">
      <w:pPr>
        <w:tabs>
          <w:tab w:val="left" w:pos="7300"/>
        </w:tabs>
        <w:rPr>
          <w:lang w:val="en-IE"/>
        </w:rPr>
      </w:pPr>
      <w:r>
        <w:rPr>
          <w:lang w:val="en-IE"/>
        </w:rPr>
        <w:t xml:space="preserve">Other </w:t>
      </w:r>
      <w:r w:rsidR="007E482F">
        <w:rPr>
          <w:lang w:val="en-IE"/>
        </w:rPr>
        <w:t>recurrent</w:t>
      </w:r>
      <w:r>
        <w:rPr>
          <w:lang w:val="en-IE"/>
        </w:rPr>
        <w:t xml:space="preserve"> area</w:t>
      </w:r>
      <w:r w:rsidR="007E482F">
        <w:rPr>
          <w:lang w:val="en-IE"/>
        </w:rPr>
        <w:t>s</w:t>
      </w:r>
      <w:r>
        <w:rPr>
          <w:lang w:val="en-IE"/>
        </w:rPr>
        <w:t xml:space="preserve"> of activity: </w:t>
      </w:r>
      <w:r w:rsidRPr="00C67AD0">
        <w:rPr>
          <w:i/>
          <w:lang w:val="en-IE"/>
        </w:rPr>
        <w:t>list of NUTs</w:t>
      </w:r>
    </w:p>
    <w:p w14:paraId="32E7BD73" w14:textId="0F305C3C" w:rsidR="00084A1B" w:rsidRDefault="002A760F" w:rsidP="00FD4CBB">
      <w:pPr>
        <w:tabs>
          <w:tab w:val="left" w:pos="7300"/>
        </w:tabs>
        <w:rPr>
          <w:lang w:val="en-IE"/>
        </w:rPr>
      </w:pPr>
      <w:r>
        <w:rPr>
          <w:lang w:val="en-IE"/>
        </w:rPr>
        <w:t xml:space="preserve">If accepted in Team EUROPE DIRECT, </w:t>
      </w:r>
      <w:r w:rsidR="00084A1B">
        <w:rPr>
          <w:lang w:val="en-IE"/>
        </w:rPr>
        <w:t xml:space="preserve">I </w:t>
      </w:r>
      <w:r>
        <w:rPr>
          <w:lang w:val="en-IE"/>
        </w:rPr>
        <w:t>undertake to</w:t>
      </w:r>
      <w:r w:rsidR="00084A1B">
        <w:rPr>
          <w:lang w:val="en-IE"/>
        </w:rPr>
        <w:t xml:space="preserve"> sign a </w:t>
      </w:r>
      <w:r w:rsidR="00084A1B" w:rsidRPr="007E482F">
        <w:rPr>
          <w:i/>
          <w:lang w:val="en-IE"/>
        </w:rPr>
        <w:t xml:space="preserve">Letter of </w:t>
      </w:r>
      <w:r w:rsidR="007E482F">
        <w:rPr>
          <w:i/>
          <w:lang w:val="en-IE"/>
        </w:rPr>
        <w:t>U</w:t>
      </w:r>
      <w:r w:rsidR="00084A1B" w:rsidRPr="007E482F">
        <w:rPr>
          <w:i/>
          <w:lang w:val="en-IE"/>
        </w:rPr>
        <w:t>nderstanding</w:t>
      </w:r>
      <w:r w:rsidR="009D070D" w:rsidRPr="007E482F">
        <w:rPr>
          <w:i/>
          <w:lang w:val="en-IE"/>
        </w:rPr>
        <w:t xml:space="preserve"> </w:t>
      </w:r>
      <w:r w:rsidR="009D070D">
        <w:rPr>
          <w:i/>
          <w:lang w:val="en-IE"/>
        </w:rPr>
        <w:t>on</w:t>
      </w:r>
      <w:r w:rsidR="00B8779D" w:rsidRPr="00EC45CD">
        <w:rPr>
          <w:i/>
          <w:lang w:val="en-IE"/>
        </w:rPr>
        <w:t xml:space="preserve"> Team EUROPE DIRECT membership</w:t>
      </w:r>
      <w:r w:rsidR="00B8779D">
        <w:rPr>
          <w:lang w:val="en-IE"/>
        </w:rPr>
        <w:t xml:space="preserve"> </w:t>
      </w:r>
      <w:r w:rsidR="00084A1B">
        <w:rPr>
          <w:lang w:val="en-IE"/>
        </w:rPr>
        <w:t xml:space="preserve">with the </w:t>
      </w:r>
      <w:r w:rsidR="00654239">
        <w:rPr>
          <w:lang w:val="en-IE"/>
        </w:rPr>
        <w:t xml:space="preserve">European Commission </w:t>
      </w:r>
      <w:r w:rsidR="00084A1B">
        <w:rPr>
          <w:lang w:val="en-IE"/>
        </w:rPr>
        <w:t>Representation in [</w:t>
      </w:r>
      <w:r w:rsidR="00084A1B" w:rsidRPr="00084A1B">
        <w:rPr>
          <w:i/>
          <w:lang w:val="en-IE"/>
        </w:rPr>
        <w:t>insert country</w:t>
      </w:r>
      <w:r w:rsidR="00084A1B">
        <w:rPr>
          <w:lang w:val="en-IE"/>
        </w:rPr>
        <w:t>]</w:t>
      </w:r>
      <w:r>
        <w:rPr>
          <w:lang w:val="en-IE"/>
        </w:rPr>
        <w:t xml:space="preserve"> and </w:t>
      </w:r>
      <w:r w:rsidR="00084A1B">
        <w:rPr>
          <w:lang w:val="en-IE"/>
        </w:rPr>
        <w:t>to actively participate</w:t>
      </w:r>
      <w:r w:rsidR="00216494">
        <w:rPr>
          <w:lang w:val="en-IE"/>
        </w:rPr>
        <w:t xml:space="preserve"> when requested depending on my availability</w:t>
      </w:r>
      <w:r w:rsidR="00084A1B">
        <w:rPr>
          <w:lang w:val="en-IE"/>
        </w:rPr>
        <w:t xml:space="preserve"> in different activities</w:t>
      </w:r>
      <w:r>
        <w:rPr>
          <w:lang w:val="en-IE"/>
        </w:rPr>
        <w:t xml:space="preserve"> per year</w:t>
      </w:r>
      <w:r w:rsidR="00084A1B">
        <w:rPr>
          <w:lang w:val="en-IE"/>
        </w:rPr>
        <w:t xml:space="preserve"> </w:t>
      </w:r>
      <w:r>
        <w:rPr>
          <w:lang w:val="en-IE"/>
        </w:rPr>
        <w:t>with a focus on EU matters</w:t>
      </w:r>
      <w:r w:rsidR="00084A1B">
        <w:rPr>
          <w:lang w:val="en-IE"/>
        </w:rPr>
        <w:t>.</w:t>
      </w:r>
    </w:p>
    <w:tbl>
      <w:tblPr>
        <w:tblW w:w="14515" w:type="dxa"/>
        <w:tblLayout w:type="fixed"/>
        <w:tblLook w:val="0000" w:firstRow="0" w:lastRow="0" w:firstColumn="0" w:lastColumn="0" w:noHBand="0" w:noVBand="0"/>
      </w:tblPr>
      <w:tblGrid>
        <w:gridCol w:w="5760"/>
        <w:gridCol w:w="2995"/>
        <w:gridCol w:w="5760"/>
      </w:tblGrid>
      <w:tr w:rsidR="00253526" w:rsidRPr="00253526" w14:paraId="7B707ECE" w14:textId="77777777" w:rsidTr="00253526">
        <w:trPr>
          <w:gridAfter w:val="1"/>
          <w:wAfter w:w="5760" w:type="dxa"/>
        </w:trPr>
        <w:tc>
          <w:tcPr>
            <w:tcW w:w="8755" w:type="dxa"/>
            <w:gridSpan w:val="2"/>
            <w:shd w:val="clear" w:color="auto" w:fill="auto"/>
          </w:tcPr>
          <w:p w14:paraId="7F5BAFB4" w14:textId="77777777" w:rsidR="00253526" w:rsidRPr="00253526" w:rsidRDefault="0040090B" w:rsidP="00253526">
            <w:pPr>
              <w:tabs>
                <w:tab w:val="right" w:leader="dot" w:pos="396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090B">
              <w:rPr>
                <w:lang w:val="en-IE"/>
              </w:rPr>
              <w:t>Herewith I apply to become a member of Team EUROPE DIRECT in [</w:t>
            </w:r>
            <w:r w:rsidRPr="0040090B">
              <w:rPr>
                <w:i/>
                <w:lang w:val="en-IE"/>
              </w:rPr>
              <w:t>insert country</w:t>
            </w:r>
            <w:r w:rsidR="00253526">
              <w:rPr>
                <w:lang w:val="en-IE"/>
              </w:rPr>
              <w:t xml:space="preserve">]. </w:t>
            </w:r>
          </w:p>
        </w:tc>
      </w:tr>
      <w:tr w:rsidR="00253526" w:rsidRPr="00253526" w14:paraId="73CDEC47" w14:textId="77777777" w:rsidTr="00253526">
        <w:trPr>
          <w:gridAfter w:val="1"/>
          <w:wAfter w:w="5760" w:type="dxa"/>
        </w:trPr>
        <w:tc>
          <w:tcPr>
            <w:tcW w:w="8755" w:type="dxa"/>
            <w:gridSpan w:val="2"/>
            <w:shd w:val="clear" w:color="auto" w:fill="auto"/>
          </w:tcPr>
          <w:p w14:paraId="25BD8CC3" w14:textId="77777777" w:rsidR="00253526" w:rsidRPr="00253526" w:rsidRDefault="00253526" w:rsidP="00253526">
            <w:pPr>
              <w:tabs>
                <w:tab w:val="right" w:leader="do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526" w:rsidRPr="00253526" w14:paraId="7CC02D23" w14:textId="77777777" w:rsidTr="00253526">
        <w:trPr>
          <w:gridBefore w:val="1"/>
          <w:wBefore w:w="5760" w:type="dxa"/>
        </w:trPr>
        <w:tc>
          <w:tcPr>
            <w:tcW w:w="8755" w:type="dxa"/>
            <w:gridSpan w:val="2"/>
            <w:shd w:val="clear" w:color="auto" w:fill="auto"/>
          </w:tcPr>
          <w:p w14:paraId="3DEE5F06" w14:textId="77777777" w:rsidR="00253526" w:rsidRPr="00253526" w:rsidRDefault="00253526" w:rsidP="00253526">
            <w:pPr>
              <w:tabs>
                <w:tab w:val="right" w:leader="dot" w:pos="382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3526">
              <w:rPr>
                <w:rFonts w:ascii="Times New Roman" w:eastAsia="Times New Roman" w:hAnsi="Times New Roman" w:cs="Times New Roman"/>
                <w:sz w:val="24"/>
                <w:szCs w:val="20"/>
                <w:lang w:val="en-IE"/>
              </w:rPr>
              <w:br/>
            </w:r>
            <w:r w:rsidRPr="00253526">
              <w:rPr>
                <w:rFonts w:ascii="Times New Roman" w:eastAsia="Times New Roman" w:hAnsi="Times New Roman" w:cs="Times New Roman"/>
                <w:sz w:val="24"/>
                <w:szCs w:val="20"/>
                <w:lang w:val="en-IE"/>
              </w:rPr>
              <w:tab/>
            </w:r>
            <w:r w:rsidRPr="00253526">
              <w:rPr>
                <w:rFonts w:ascii="Times New Roman" w:eastAsia="Times New Roman" w:hAnsi="Times New Roman" w:cs="Times New Roman"/>
                <w:sz w:val="24"/>
                <w:szCs w:val="20"/>
                <w:lang w:val="en-IE"/>
              </w:rPr>
              <w:br/>
            </w:r>
            <w:r w:rsidRPr="002535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[signature]</w:t>
            </w:r>
          </w:p>
        </w:tc>
      </w:tr>
      <w:tr w:rsidR="00253526" w:rsidRPr="00253526" w14:paraId="0BAE14E1" w14:textId="77777777" w:rsidTr="00253526">
        <w:trPr>
          <w:gridBefore w:val="1"/>
          <w:wBefore w:w="5760" w:type="dxa"/>
        </w:trPr>
        <w:tc>
          <w:tcPr>
            <w:tcW w:w="8755" w:type="dxa"/>
            <w:gridSpan w:val="2"/>
            <w:shd w:val="clear" w:color="auto" w:fill="auto"/>
          </w:tcPr>
          <w:p w14:paraId="73908E40" w14:textId="77777777" w:rsidR="00253526" w:rsidRPr="00253526" w:rsidRDefault="00253526" w:rsidP="00253526">
            <w:pPr>
              <w:tabs>
                <w:tab w:val="right" w:leader="dot" w:pos="382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3526">
              <w:rPr>
                <w:rFonts w:ascii="Times New Roman" w:eastAsia="Times New Roman" w:hAnsi="Times New Roman" w:cs="Times New Roman"/>
                <w:sz w:val="24"/>
                <w:szCs w:val="20"/>
              </w:rPr>
              <w:t>Done at</w:t>
            </w:r>
            <w:r w:rsidRPr="00253526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253526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</w:r>
            <w:r w:rsidRPr="002535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[place, date]</w:t>
            </w:r>
          </w:p>
        </w:tc>
      </w:tr>
    </w:tbl>
    <w:p w14:paraId="3063B74F" w14:textId="77777777" w:rsidR="0040090B" w:rsidRDefault="00084A1B" w:rsidP="00FD4CBB">
      <w:pPr>
        <w:tabs>
          <w:tab w:val="left" w:pos="7300"/>
        </w:tabs>
        <w:rPr>
          <w:lang w:val="en-IE"/>
        </w:rPr>
      </w:pPr>
      <w:r>
        <w:rPr>
          <w:lang w:val="en-IE"/>
        </w:rPr>
        <w:lastRenderedPageBreak/>
        <w:t xml:space="preserve">                                                                                                             </w:t>
      </w:r>
    </w:p>
    <w:p w14:paraId="61DB010A" w14:textId="77777777" w:rsidR="000F183A" w:rsidRPr="000F183A" w:rsidRDefault="000F183A" w:rsidP="000F183A">
      <w:pPr>
        <w:spacing w:after="0" w:line="240" w:lineRule="auto"/>
        <w:rPr>
          <w:rFonts w:ascii="Calibri" w:eastAsia="Calibri" w:hAnsi="Calibri" w:cs="Calibri"/>
        </w:rPr>
      </w:pPr>
      <w:r w:rsidRPr="000F183A">
        <w:rPr>
          <w:rFonts w:ascii="Calibri" w:eastAsia="Calibri" w:hAnsi="Calibri" w:cs="Calibri"/>
          <w:lang w:val="en-IE"/>
        </w:rPr>
        <w:t xml:space="preserve">The submission of an application involves the collection, use and processing of your personal data. Information about </w:t>
      </w:r>
      <w:r w:rsidRPr="000F183A">
        <w:rPr>
          <w:rFonts w:ascii="Calibri" w:eastAsia="Calibri" w:hAnsi="Calibri" w:cs="Calibri"/>
        </w:rPr>
        <w:t xml:space="preserve">the reasons for the processing, handling and protection of your personal data, as well as the rights you have in relation to your personal data can be found </w:t>
      </w:r>
      <w:hyperlink r:id="rId8" w:history="1">
        <w:r w:rsidRPr="000F183A">
          <w:rPr>
            <w:rFonts w:ascii="Calibri" w:eastAsia="Calibri" w:hAnsi="Calibri" w:cs="Calibri"/>
            <w:color w:val="0563C1"/>
            <w:u w:val="single"/>
          </w:rPr>
          <w:t>here</w:t>
        </w:r>
      </w:hyperlink>
      <w:r w:rsidRPr="000F183A">
        <w:rPr>
          <w:rFonts w:ascii="Calibri" w:eastAsia="Calibri" w:hAnsi="Calibri" w:cs="Calibri"/>
        </w:rPr>
        <w:t>.</w:t>
      </w:r>
    </w:p>
    <w:p w14:paraId="7CD8FA46" w14:textId="77777777" w:rsidR="00C83DD3" w:rsidRDefault="00C83DD3" w:rsidP="00FD4CBB">
      <w:pPr>
        <w:tabs>
          <w:tab w:val="left" w:pos="7300"/>
        </w:tabs>
        <w:rPr>
          <w:i/>
          <w:lang w:val="en-IE"/>
        </w:rPr>
      </w:pPr>
    </w:p>
    <w:p w14:paraId="590AB3F3" w14:textId="77777777" w:rsidR="00C83DD3" w:rsidRPr="005C3E8F" w:rsidRDefault="00C83DD3" w:rsidP="00FD4CBB">
      <w:pPr>
        <w:tabs>
          <w:tab w:val="left" w:pos="7300"/>
        </w:tabs>
        <w:rPr>
          <w:lang w:val="fr-BE"/>
        </w:rPr>
      </w:pPr>
      <w:proofErr w:type="spellStart"/>
      <w:r w:rsidRPr="005C3E8F">
        <w:rPr>
          <w:lang w:val="fr-BE"/>
        </w:rPr>
        <w:t>Annex</w:t>
      </w:r>
      <w:proofErr w:type="spellEnd"/>
      <w:r w:rsidRPr="005C3E8F">
        <w:rPr>
          <w:lang w:val="fr-BE"/>
        </w:rPr>
        <w:t xml:space="preserve"> 1: CV</w:t>
      </w:r>
    </w:p>
    <w:p w14:paraId="7C7C14AF" w14:textId="61DDDA44" w:rsidR="00FD4CBB" w:rsidRPr="005C3E8F" w:rsidRDefault="00C83DD3" w:rsidP="00FD4CBB">
      <w:pPr>
        <w:tabs>
          <w:tab w:val="left" w:pos="7300"/>
        </w:tabs>
        <w:rPr>
          <w:i/>
          <w:lang w:val="fr-BE"/>
        </w:rPr>
      </w:pPr>
      <w:proofErr w:type="spellStart"/>
      <w:r w:rsidRPr="005C3E8F">
        <w:rPr>
          <w:lang w:val="fr-BE"/>
        </w:rPr>
        <w:t>Annex</w:t>
      </w:r>
      <w:proofErr w:type="spellEnd"/>
      <w:r w:rsidRPr="005C3E8F">
        <w:rPr>
          <w:lang w:val="fr-BE"/>
        </w:rPr>
        <w:t xml:space="preserve"> 2: Motivation </w:t>
      </w:r>
      <w:proofErr w:type="spellStart"/>
      <w:r w:rsidRPr="005C3E8F">
        <w:rPr>
          <w:lang w:val="fr-BE"/>
        </w:rPr>
        <w:t>letter</w:t>
      </w:r>
      <w:proofErr w:type="spellEnd"/>
      <w:r w:rsidR="00FD4CBB" w:rsidRPr="005C3E8F">
        <w:rPr>
          <w:i/>
          <w:lang w:val="fr-BE"/>
        </w:rPr>
        <w:tab/>
      </w:r>
    </w:p>
    <w:sectPr w:rsidR="00FD4CBB" w:rsidRPr="005C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D3641" w14:textId="77777777" w:rsidR="0014203D" w:rsidRDefault="0014203D" w:rsidP="00FD4CBB">
      <w:pPr>
        <w:spacing w:after="0" w:line="240" w:lineRule="auto"/>
      </w:pPr>
      <w:r>
        <w:separator/>
      </w:r>
    </w:p>
  </w:endnote>
  <w:endnote w:type="continuationSeparator" w:id="0">
    <w:p w14:paraId="22E4DC55" w14:textId="77777777" w:rsidR="0014203D" w:rsidRDefault="0014203D" w:rsidP="00FD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3CCB" w14:textId="77777777" w:rsidR="00FD4CBB" w:rsidRDefault="00FD4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C74F9" w14:textId="77777777" w:rsidR="00FD4CBB" w:rsidRDefault="00FD4C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F33FD" w14:textId="77777777" w:rsidR="00FD4CBB" w:rsidRDefault="00FD4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7DDD4" w14:textId="77777777" w:rsidR="0014203D" w:rsidRDefault="0014203D" w:rsidP="00FD4CBB">
      <w:pPr>
        <w:spacing w:after="0" w:line="240" w:lineRule="auto"/>
      </w:pPr>
      <w:r>
        <w:separator/>
      </w:r>
    </w:p>
  </w:footnote>
  <w:footnote w:type="continuationSeparator" w:id="0">
    <w:p w14:paraId="1E218D07" w14:textId="77777777" w:rsidR="0014203D" w:rsidRDefault="0014203D" w:rsidP="00FD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AD7F3" w14:textId="77777777" w:rsidR="00FD4CBB" w:rsidRDefault="00FD4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B16D" w14:textId="77777777" w:rsidR="00FD4CBB" w:rsidRDefault="00FD4CBB">
    <w:pPr>
      <w:pStyle w:val="Header"/>
    </w:pPr>
    <w:r>
      <w:rPr>
        <w:noProof/>
        <w:lang w:val="en-IE" w:eastAsia="en-IE"/>
      </w:rPr>
      <w:drawing>
        <wp:inline distT="0" distB="0" distL="0" distR="0" wp14:anchorId="0546CF1F" wp14:editId="088490E9">
          <wp:extent cx="2938780" cy="12744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467EF" w14:textId="77777777" w:rsidR="00FD4CBB" w:rsidRDefault="00FD4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9582F"/>
    <w:multiLevelType w:val="hybridMultilevel"/>
    <w:tmpl w:val="845C3DFA"/>
    <w:lvl w:ilvl="0" w:tplc="0DD2AE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activeWritingStyle w:appName="MSWord" w:lang="fr-BE" w:vendorID="64" w:dllVersion="131078" w:nlCheck="1" w:checkStyle="0"/>
  <w:activeWritingStyle w:appName="MSWord" w:lang="en-IE" w:vendorID="64" w:dllVersion="131078" w:nlCheck="1" w:checkStyle="1"/>
  <w:activeWritingStyle w:appName="MSWord" w:lang="en-GB" w:vendorID="64" w:dllVersion="131078" w:nlCheck="1" w:checkStyle="1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BB"/>
    <w:rsid w:val="00084A1B"/>
    <w:rsid w:val="000F183A"/>
    <w:rsid w:val="000F3CEE"/>
    <w:rsid w:val="0014203D"/>
    <w:rsid w:val="00181B6B"/>
    <w:rsid w:val="00216494"/>
    <w:rsid w:val="0024595D"/>
    <w:rsid w:val="00253526"/>
    <w:rsid w:val="002A760F"/>
    <w:rsid w:val="002F2233"/>
    <w:rsid w:val="00304995"/>
    <w:rsid w:val="0033133D"/>
    <w:rsid w:val="003870F5"/>
    <w:rsid w:val="003A087C"/>
    <w:rsid w:val="003D29EE"/>
    <w:rsid w:val="0040090B"/>
    <w:rsid w:val="004755CA"/>
    <w:rsid w:val="004D0585"/>
    <w:rsid w:val="005C3E8F"/>
    <w:rsid w:val="00654239"/>
    <w:rsid w:val="00704F07"/>
    <w:rsid w:val="007E482F"/>
    <w:rsid w:val="008E1530"/>
    <w:rsid w:val="009D070D"/>
    <w:rsid w:val="00A71017"/>
    <w:rsid w:val="00B47989"/>
    <w:rsid w:val="00B8779D"/>
    <w:rsid w:val="00C365BC"/>
    <w:rsid w:val="00C427CF"/>
    <w:rsid w:val="00C67AD0"/>
    <w:rsid w:val="00C83DD3"/>
    <w:rsid w:val="00CB2250"/>
    <w:rsid w:val="00E657AB"/>
    <w:rsid w:val="00EC45CD"/>
    <w:rsid w:val="00F46D96"/>
    <w:rsid w:val="00FA67A0"/>
    <w:rsid w:val="00FC20B9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E57BA"/>
  <w15:chartTrackingRefBased/>
  <w15:docId w15:val="{36E5AC79-31DC-4B8A-AFC8-B5303BAE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CBB"/>
  </w:style>
  <w:style w:type="paragraph" w:styleId="Footer">
    <w:name w:val="footer"/>
    <w:basedOn w:val="Normal"/>
    <w:link w:val="FooterChar"/>
    <w:uiPriority w:val="99"/>
    <w:unhideWhenUsed/>
    <w:rsid w:val="00FD4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CBB"/>
  </w:style>
  <w:style w:type="paragraph" w:styleId="BalloonText">
    <w:name w:val="Balloon Text"/>
    <w:basedOn w:val="Normal"/>
    <w:link w:val="BalloonTextChar"/>
    <w:uiPriority w:val="99"/>
    <w:semiHidden/>
    <w:unhideWhenUsed/>
    <w:rsid w:val="002F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90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35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5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52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A7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dpo-register/detail/DPR-EC-0106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2FA2-C39A-43A5-B4B0-47A4D64A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2220</Characters>
  <Application>Microsoft Office Word</Application>
  <DocSecurity>0</DocSecurity>
  <Lines>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POKOJSKA Magdalena (COMM)</dc:creator>
  <cp:keywords/>
  <dc:description/>
  <cp:lastModifiedBy>GALVIN Grainne (COMM-DUBLIN)</cp:lastModifiedBy>
  <cp:revision>2</cp:revision>
  <dcterms:created xsi:type="dcterms:W3CDTF">2023-06-22T12:08:00Z</dcterms:created>
  <dcterms:modified xsi:type="dcterms:W3CDTF">2023-06-22T12:08:00Z</dcterms:modified>
</cp:coreProperties>
</file>